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ул.Кораблестроителей, д.22, корп.1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3127.60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1997.67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1072.70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3127.60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2054.90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1997.67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1997.67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28.46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18.24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10.22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12.17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1072.70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249.53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823.18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106.4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470.05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705.0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Гортензия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172,2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79,3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Хоста белоокаймленная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Счеты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Турник разновысотный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"Гнездо"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Игровая панель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Уличный тренажер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Балансир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двойные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258.30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8,68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197.8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98.9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