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22" w:rsidRPr="001922DF" w:rsidRDefault="00CA7422" w:rsidP="00CA7422">
      <w:pPr>
        <w:rPr>
          <w:b/>
          <w:sz w:val="36"/>
          <w:szCs w:val="36"/>
        </w:rPr>
      </w:pPr>
      <w:r w:rsidRPr="001922DF">
        <w:rPr>
          <w:rFonts w:ascii="Verdana" w:hAnsi="Verdana"/>
          <w:b/>
          <w:color w:val="000000"/>
          <w:sz w:val="36"/>
          <w:szCs w:val="36"/>
        </w:rPr>
        <w:t>Государственная программа «Доступная среда»</w:t>
      </w:r>
    </w:p>
    <w:p w:rsidR="00CA7422" w:rsidRDefault="00CA7422" w:rsidP="00CA7422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Государственная программа «Доступная среда», разработанная Министерством труда и социальной защиты Российской Федерации, действует в нашей стране уже более 9 лет. Она предусматривает реализацию комплекса мероприятий, позволяющих обеспечить беспрепятственный доступ к приоритетным объектам и услугам в сферах жизнедеятельности инвалидов и других маломобильных групп населения. Активным участником программы на протяжении этих лет является Пенсионный фонд России.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Повышение уровня обслуживания граждан – одно из приоритетных направлений деятельности УПФР в </w:t>
      </w:r>
      <w:proofErr w:type="spellStart"/>
      <w:r>
        <w:rPr>
          <w:rFonts w:ascii="Verdana" w:hAnsi="Verdana"/>
          <w:color w:val="000000"/>
          <w:sz w:val="21"/>
          <w:szCs w:val="21"/>
        </w:rPr>
        <w:t>Василеоствском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районе Санкт-Петербурга. Важная часть работы в этом направлении – обеспечение условий для беспрепятственного доступа к объектам и услугам, оказываемых территориальными органами ПФР для всех членов общества.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>Территория, прилегающая к зданиям органов ПФР, в которых осуществляется прием граждан, оборудуется парковочными местами с обозначением мест стоянки для маломобильных групп населения, а также устанавливаются специализированные дорожные знаки. У здания Управления оборудованы удобные пандусы.</w:t>
      </w:r>
      <w:r>
        <w:rPr>
          <w:rFonts w:ascii="Verdana" w:hAnsi="Verdana"/>
          <w:color w:val="000000"/>
          <w:sz w:val="21"/>
          <w:szCs w:val="21"/>
        </w:rPr>
        <w:br/>
        <w:t xml:space="preserve">Внутри здания широкие коридоры позволяют беспрепятственно передвигаться на коляске, есть визуальные разметки </w:t>
      </w:r>
      <w:proofErr w:type="gramStart"/>
      <w:r>
        <w:rPr>
          <w:rFonts w:ascii="Verdana" w:hAnsi="Verdana"/>
          <w:color w:val="000000"/>
          <w:sz w:val="21"/>
          <w:szCs w:val="21"/>
        </w:rPr>
        <w:t>для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слабовидящих на дверях и ступенях.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  <w:t xml:space="preserve">Для людей с ограниченными возможностями здоровья оборудован и официальный сайт Пенсионного фонда </w:t>
      </w:r>
      <w:hyperlink r:id="rId5" w:tgtFrame="_blank" w:history="1">
        <w:r>
          <w:rPr>
            <w:rFonts w:ascii="Verdana" w:hAnsi="Verdana"/>
            <w:color w:val="4986CC"/>
            <w:sz w:val="21"/>
            <w:szCs w:val="21"/>
          </w:rPr>
          <w:t>https://www.pfrf.ru</w:t>
        </w:r>
      </w:hyperlink>
      <w:r>
        <w:rPr>
          <w:rFonts w:ascii="Verdana" w:hAnsi="Verdana"/>
          <w:color w:val="000000"/>
          <w:sz w:val="21"/>
          <w:szCs w:val="21"/>
        </w:rPr>
        <w:t>. Помимо версии для слабовидящих граждан на сайте работает сервис голосового ассистента. Все публикуемые материалы Пенсионного фонда можно не только читать, но и прослушивать, причем в равной степени и короткие тексты, и длинные материалы, такие как новости или тематические статьи. Для того</w:t>
      </w:r>
      <w:proofErr w:type="gramStart"/>
      <w:r>
        <w:rPr>
          <w:rFonts w:ascii="Verdana" w:hAnsi="Verdana"/>
          <w:color w:val="000000"/>
          <w:sz w:val="21"/>
          <w:szCs w:val="21"/>
        </w:rPr>
        <w:t>,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чтобы воспользоваться голосовым помощником нужно переключится на «Версию сайта для слабовидящих». Чтобы озвучить текст на сайте необходимо выделить мышкой текстовый фрагмент и нажать кнопку «воспроизвести</w:t>
      </w:r>
      <w:proofErr w:type="gramStart"/>
      <w:r>
        <w:rPr>
          <w:rFonts w:ascii="Verdana" w:hAnsi="Verdana"/>
          <w:color w:val="000000"/>
          <w:sz w:val="21"/>
          <w:szCs w:val="21"/>
        </w:rPr>
        <w:t>» (</w:t>
      </w:r>
      <w:r>
        <w:rPr>
          <w:rFonts w:ascii="Arial" w:hAnsi="Arial" w:cs="Arial"/>
          <w:color w:val="000000"/>
          <w:sz w:val="21"/>
          <w:szCs w:val="21"/>
        </w:rPr>
        <w:t>►</w:t>
      </w:r>
      <w:r>
        <w:rPr>
          <w:rFonts w:ascii="Verdana" w:hAnsi="Verdana"/>
          <w:color w:val="000000"/>
          <w:sz w:val="21"/>
          <w:szCs w:val="21"/>
        </w:rPr>
        <w:t xml:space="preserve">). </w:t>
      </w:r>
      <w:proofErr w:type="gramEnd"/>
      <w:r>
        <w:rPr>
          <w:rFonts w:ascii="Verdana" w:hAnsi="Verdana" w:cs="Verdana"/>
          <w:color w:val="000000"/>
          <w:sz w:val="21"/>
          <w:szCs w:val="21"/>
        </w:rPr>
        <w:t>После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этого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текст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будет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 w:cs="Verdana"/>
          <w:color w:val="000000"/>
          <w:sz w:val="21"/>
          <w:szCs w:val="21"/>
        </w:rPr>
        <w:t>озвучен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CA7422" w:rsidRDefault="00CA7422" w:rsidP="00CA7422">
      <w:pPr>
        <w:jc w:val="right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 xml:space="preserve">Государственное учреждение – Управление Пенсионного фонда Российской Федерации в Василеостровском районе Санкт-Петербурга </w:t>
      </w:r>
    </w:p>
    <w:p w:rsidR="00AA4CC1" w:rsidRDefault="00AA4CC1"/>
    <w:sectPr w:rsidR="00AA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85"/>
    <w:rsid w:val="00572C85"/>
    <w:rsid w:val="00AA4CC1"/>
    <w:rsid w:val="00C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away.php?to=https%3A%2F%2Fwww.pfrf.ru&amp;post=-92160722_5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2</cp:revision>
  <dcterms:created xsi:type="dcterms:W3CDTF">2020-07-21T15:21:00Z</dcterms:created>
  <dcterms:modified xsi:type="dcterms:W3CDTF">2020-07-21T15:21:00Z</dcterms:modified>
</cp:coreProperties>
</file>